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211"/>
        <w:gridCol w:w="1723"/>
      </w:tblGrid>
      <w:tr w:rsidR="003A369F" w:rsidTr="007816DF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723" w:type="dxa"/>
          </w:tcPr>
          <w:p w:rsidR="003A369F" w:rsidRDefault="003A369F">
            <w:r>
              <w:t>Nº ECTS</w:t>
            </w:r>
          </w:p>
        </w:tc>
      </w:tr>
      <w:tr w:rsidR="003A369F" w:rsidTr="007816DF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F17678">
            <w:pPr>
              <w:jc w:val="both"/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>DERECHO</w:t>
            </w:r>
            <w:r w:rsidR="007816DF">
              <w:t xml:space="preserve"> CONSTITUCIONAL/ DERECHO DE LA UE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723" w:type="dxa"/>
          </w:tcPr>
          <w:p w:rsidR="003A369F" w:rsidRDefault="003A369F" w:rsidP="007816D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F17678">
            <w:r>
              <w:t>Experto en Derecho Constitucional, Derecho de la Unión Europea</w:t>
            </w:r>
          </w:p>
          <w:p w:rsidR="001D7F79" w:rsidRDefault="00F17678">
            <w:r>
              <w:t>Experiencia investigadora en Derecho Parlamentario y Derecho Constitucional de la Unión Europea</w:t>
            </w:r>
          </w:p>
          <w:p w:rsidR="001D7F79" w:rsidRDefault="00F17678">
            <w:r>
              <w:t>Experiencia docente en las siguientes materias</w:t>
            </w:r>
          </w:p>
          <w:p w:rsidR="001D7F79" w:rsidRDefault="001D7F79" w:rsidP="00F17678">
            <w:pPr>
              <w:ind w:left="283"/>
            </w:pPr>
            <w:r>
              <w:t>.</w:t>
            </w:r>
            <w:r w:rsidR="00F17678">
              <w:t xml:space="preserve"> Introducción al Derecho</w:t>
            </w:r>
          </w:p>
          <w:p w:rsidR="00F17678" w:rsidRDefault="001D7F79" w:rsidP="00F17678">
            <w:pPr>
              <w:ind w:left="283"/>
            </w:pPr>
            <w:r>
              <w:t>.</w:t>
            </w:r>
            <w:r w:rsidR="00F17678">
              <w:t xml:space="preserve"> Derecho Constitucional</w:t>
            </w:r>
          </w:p>
          <w:p w:rsidR="001D7F79" w:rsidRDefault="001D7F79" w:rsidP="00F17678">
            <w:pPr>
              <w:ind w:left="283"/>
            </w:pPr>
            <w:r>
              <w:t>.</w:t>
            </w:r>
            <w:r w:rsidR="00F17678">
              <w:t xml:space="preserve"> Derecho comunitario</w:t>
            </w:r>
          </w:p>
          <w:p w:rsidR="00F17678" w:rsidRDefault="00F17678" w:rsidP="00F17678">
            <w:pPr>
              <w:ind w:left="283"/>
            </w:pPr>
            <w:r>
              <w:t>.Trabajos Fin de Grado (derechos fundamentales y derecho de la UE)</w:t>
            </w:r>
          </w:p>
          <w:p w:rsidR="001D7F79" w:rsidRDefault="00F17678" w:rsidP="00F17678">
            <w:pPr>
              <w:ind w:left="283"/>
            </w:pPr>
            <w:r>
              <w:t>. Trabajos Fin de Máster MAB y Máster Derecho Parlamentario (derechos fundamentales y Derecho de la UE)</w:t>
            </w:r>
          </w:p>
          <w:p w:rsidR="00826C05" w:rsidRDefault="00826C05" w:rsidP="00F17678">
            <w:pPr>
              <w:ind w:left="283"/>
            </w:pPr>
            <w:r>
              <w:t>. MAB – aplicación práctica de los derechos fundamentales</w:t>
            </w:r>
          </w:p>
          <w:p w:rsidR="00826C05" w:rsidRDefault="00826C05" w:rsidP="00F17678">
            <w:pPr>
              <w:ind w:left="283"/>
              <w:rPr>
                <w:lang w:val="en-GB"/>
              </w:rPr>
            </w:pPr>
            <w:r w:rsidRPr="00826C05">
              <w:rPr>
                <w:lang w:val="en-GB"/>
              </w:rPr>
              <w:t>. Joint Master Program in parliamentary procedures and legislative drafting</w:t>
            </w:r>
          </w:p>
          <w:p w:rsidR="00826C05" w:rsidRPr="00826C05" w:rsidRDefault="00826C05" w:rsidP="00F17678">
            <w:pPr>
              <w:ind w:left="283"/>
            </w:pPr>
            <w:r>
              <w:t>. Master en derecho parlamentario, elecciones y estudios legislativos</w:t>
            </w:r>
          </w:p>
          <w:p w:rsidR="001D7F79" w:rsidRPr="00826C05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17678">
              <w:t xml:space="preserve"> Derecho parlamentario</w:t>
            </w:r>
          </w:p>
          <w:p w:rsidR="006504FE" w:rsidRDefault="001D7F79">
            <w:r>
              <w:t>2.</w:t>
            </w:r>
            <w:r w:rsidR="00F17678">
              <w:t xml:space="preserve"> Derecho constitucional de la Unión Europea</w:t>
            </w:r>
          </w:p>
          <w:p w:rsidR="006504FE" w:rsidRDefault="006504FE">
            <w:r>
              <w:t>3. Gobernanza económica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F17678">
            <w:pPr>
              <w:jc w:val="both"/>
            </w:pPr>
            <w:r>
              <w:t>1.</w:t>
            </w:r>
            <w:r w:rsidR="00F17678">
              <w:t xml:space="preserve"> </w:t>
            </w:r>
            <w:r w:rsidR="00F17678" w:rsidRPr="00F96B9D">
              <w:rPr>
                <w:rFonts w:ascii="Calibri" w:eastAsia="Calibri" w:hAnsi="Calibri" w:cs="Times New Roman"/>
              </w:rPr>
              <w:t>“</w:t>
            </w:r>
            <w:r w:rsidR="00F17678">
              <w:rPr>
                <w:rFonts w:ascii="Calibri" w:eastAsia="Calibri" w:hAnsi="Calibri" w:cs="Times New Roman"/>
              </w:rPr>
              <w:t>LA PROTECCIÓN DE LAS LIBERTAES FUNDAMENTALES Y LOS DERECHOS HUMANOS EN EL ORDENAMIENTO FINANCIERO Y TRIBUTARIO”.</w:t>
            </w:r>
            <w:r w:rsidR="00F17678" w:rsidRPr="0060696D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F17678" w:rsidRPr="0060696D">
              <w:rPr>
                <w:rFonts w:ascii="Calibri" w:eastAsia="Calibri" w:hAnsi="Calibri" w:cs="Times New Roman"/>
              </w:rPr>
              <w:t>Ref</w:t>
            </w:r>
            <w:proofErr w:type="spellEnd"/>
            <w:r w:rsidR="00F17678" w:rsidRPr="0060696D">
              <w:rPr>
                <w:rFonts w:ascii="Calibri" w:eastAsia="Calibri" w:hAnsi="Calibri" w:cs="Times New Roman"/>
              </w:rPr>
              <w:t xml:space="preserve">: </w:t>
            </w:r>
            <w:r w:rsidR="00F17678">
              <w:rPr>
                <w:rFonts w:ascii="Calibri" w:eastAsia="Calibri" w:hAnsi="Calibri" w:cs="Times New Roman"/>
              </w:rPr>
              <w:t>DER2015-65832-P</w:t>
            </w:r>
            <w:r w:rsidR="00F17678" w:rsidRPr="0060696D">
              <w:rPr>
                <w:rFonts w:ascii="Calibri" w:eastAsia="Calibri" w:hAnsi="Calibri" w:cs="Times New Roman"/>
              </w:rPr>
              <w:t>)</w:t>
            </w:r>
            <w:r w:rsidR="00F17678">
              <w:t xml:space="preserve"> MINISTERIO DE ECONOMÍA Y COMPETITIVIDAD, 2016-2018.</w:t>
            </w:r>
            <w:r w:rsidR="00F17678" w:rsidRPr="00F96B9D">
              <w:rPr>
                <w:rFonts w:ascii="Calibri" w:eastAsia="Calibri" w:hAnsi="Calibri" w:cs="Times New Roman"/>
              </w:rPr>
              <w:tab/>
            </w:r>
          </w:p>
          <w:p w:rsidR="001D7F79" w:rsidRDefault="001D7F79" w:rsidP="00F17678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before="120"/>
              <w:ind w:right="-1"/>
              <w:textAlignment w:val="baseline"/>
            </w:pPr>
            <w:r>
              <w:t>2.</w:t>
            </w:r>
            <w:r w:rsidR="00F17678">
              <w:t xml:space="preserve"> </w:t>
            </w:r>
            <w:r w:rsidR="00F17678" w:rsidRPr="00F96B9D">
              <w:rPr>
                <w:rFonts w:ascii="Calibri" w:eastAsia="Calibri" w:hAnsi="Calibri" w:cs="Times New Roman"/>
              </w:rPr>
              <w:t>“</w:t>
            </w:r>
            <w:r w:rsidR="00F17678" w:rsidRPr="0060696D">
              <w:rPr>
                <w:rFonts w:ascii="Calibri" w:eastAsia="Calibri" w:hAnsi="Calibri" w:cs="Times New Roman"/>
              </w:rPr>
              <w:t>COMPILACIÓN Y EDICIÓN DE LAS OBRAS DE TIERNO GALVÁN</w:t>
            </w:r>
            <w:r w:rsidR="00F17678">
              <w:rPr>
                <w:rFonts w:ascii="Calibri" w:eastAsia="Calibri" w:hAnsi="Calibri" w:cs="Times New Roman"/>
              </w:rPr>
              <w:t>”.</w:t>
            </w:r>
            <w:r w:rsidR="00F17678" w:rsidRPr="0060696D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F17678" w:rsidRPr="0060696D">
              <w:rPr>
                <w:rFonts w:ascii="Calibri" w:eastAsia="Calibri" w:hAnsi="Calibri" w:cs="Times New Roman"/>
              </w:rPr>
              <w:t>Ref</w:t>
            </w:r>
            <w:proofErr w:type="spellEnd"/>
            <w:r w:rsidR="00F17678" w:rsidRPr="0060696D">
              <w:rPr>
                <w:rFonts w:ascii="Calibri" w:eastAsia="Calibri" w:hAnsi="Calibri" w:cs="Times New Roman"/>
              </w:rPr>
              <w:t>: 048913)</w:t>
            </w:r>
            <w:r w:rsidR="00F17678">
              <w:t xml:space="preserve"> UAM-AYTO DE MADRID, 2008-2012</w:t>
            </w:r>
          </w:p>
          <w:p w:rsidR="001D7F79" w:rsidRDefault="001D7F79" w:rsidP="00F17678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ind w:right="-316"/>
            </w:pPr>
            <w:r>
              <w:t>3.</w:t>
            </w:r>
            <w:r w:rsidR="00F17678">
              <w:t xml:space="preserve"> </w:t>
            </w:r>
            <w:r w:rsidR="00F17678" w:rsidRPr="00F96B9D">
              <w:rPr>
                <w:rFonts w:ascii="Calibri" w:eastAsia="Calibri" w:hAnsi="Calibri" w:cs="Times New Roman"/>
              </w:rPr>
              <w:t>“MIGRACIÓN, EXTRANJERÍA Y NUEVO CONCEPTO DE CIUDADANÍA”</w:t>
            </w:r>
            <w:r w:rsidR="00F17678">
              <w:t xml:space="preserve">, </w:t>
            </w:r>
            <w:r w:rsidR="00F17678" w:rsidRPr="00F96B9D">
              <w:rPr>
                <w:rFonts w:ascii="Calibri" w:eastAsia="Calibri" w:hAnsi="Calibri" w:cs="Times New Roman"/>
              </w:rPr>
              <w:t>UCM-BSCH (PR34/07-15801)</w:t>
            </w:r>
            <w:r w:rsidR="00F17678">
              <w:t>, 2207-2009</w:t>
            </w:r>
          </w:p>
          <w:p w:rsidR="001D7F79" w:rsidRDefault="001D7F79" w:rsidP="00826C05">
            <w:pPr>
              <w:jc w:val="both"/>
            </w:pPr>
            <w:r>
              <w:t>4.</w:t>
            </w:r>
            <w:r w:rsidR="00F17678">
              <w:t xml:space="preserve"> </w:t>
            </w:r>
            <w:r w:rsidR="00F17678" w:rsidRPr="00F96B9D">
              <w:rPr>
                <w:rFonts w:ascii="Calibri" w:eastAsia="Calibri" w:hAnsi="Calibri" w:cs="Times New Roman"/>
              </w:rPr>
              <w:t>“ANÁLISIS Y VALORACIÓN DE LA INVESTIGACIÓN Y ESTUDIOS EN MATERIA DE INTEGRACIÓN EUROPEA EN ESPAÑA Y DE LA ADAPTACIÓN DE LA UNIVERSIDAD ESPAÑOLA AL ESPACIO EUROPEO DE EDUCACIÓN SUPERIOR”</w:t>
            </w:r>
            <w:r w:rsidR="00F17678">
              <w:t>, COMISIÓN DE LA UE, 2006-2009</w:t>
            </w:r>
          </w:p>
          <w:p w:rsidR="001D7F79" w:rsidRDefault="001D7F79" w:rsidP="006E5F82"/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96B9D">
              <w:rPr>
                <w:rFonts w:ascii="Calibri" w:eastAsia="Calibri" w:hAnsi="Calibri" w:cs="Times New Roman"/>
              </w:rPr>
              <w:lastRenderedPageBreak/>
              <w:t xml:space="preserve">Ferrer Martín de Vidales, C.: Los Parlamentos Nacionales en la Unión Europea. De Maastricht a Lisboa, Madrid,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Dílex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>, 2008.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96B9D">
              <w:rPr>
                <w:rFonts w:ascii="Calibri" w:eastAsia="Calibri" w:hAnsi="Calibri" w:cs="Times New Roman"/>
              </w:rPr>
              <w:t xml:space="preserve">Ferrer Martín de Vidales, C.: “Los Parlamentos Nacionales en la Unión Europea tras el Tratado de Lisboa”,  Jean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Monnet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/Robert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Schuman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Paper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Series. Vol. 8. No. 16.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August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2008.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European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Union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Center. </w:t>
            </w:r>
            <w:proofErr w:type="spellStart"/>
            <w:r w:rsidRPr="00F96B9D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F96B9D">
              <w:rPr>
                <w:rFonts w:ascii="Calibri" w:eastAsia="Calibri" w:hAnsi="Calibri" w:cs="Times New Roman"/>
              </w:rPr>
              <w:t xml:space="preserve"> of Miami</w:t>
            </w:r>
            <w:r>
              <w:t>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5749A">
              <w:rPr>
                <w:rFonts w:ascii="Calibri" w:eastAsia="Calibri" w:hAnsi="Calibri" w:cs="Times New Roman"/>
                <w:lang w:val="en-GB"/>
              </w:rPr>
              <w:t xml:space="preserve">Ferrer Martín de Vidales, C.: “The Role of National Parliaments in the EU after the Lisbon Treaty”,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en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Joaquín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 Roy and Roberto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lastRenderedPageBreak/>
              <w:t>Domínguez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 (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eds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) </w:t>
            </w:r>
            <w:r w:rsidRPr="0015749A">
              <w:rPr>
                <w:rFonts w:ascii="Calibri" w:eastAsia="Calibri" w:hAnsi="Calibri" w:cs="Times New Roman"/>
                <w:i/>
                <w:lang w:val="en-GB"/>
              </w:rPr>
              <w:t xml:space="preserve">The Lisbon </w:t>
            </w:r>
            <w:proofErr w:type="spellStart"/>
            <w:r w:rsidRPr="0015749A">
              <w:rPr>
                <w:rFonts w:ascii="Calibri" w:eastAsia="Calibri" w:hAnsi="Calibri" w:cs="Times New Roman"/>
                <w:i/>
                <w:lang w:val="en-GB"/>
              </w:rPr>
              <w:t>Fado</w:t>
            </w:r>
            <w:proofErr w:type="spellEnd"/>
            <w:r w:rsidRPr="0015749A">
              <w:rPr>
                <w:rFonts w:ascii="Calibri" w:eastAsia="Calibri" w:hAnsi="Calibri" w:cs="Times New Roman"/>
                <w:i/>
                <w:lang w:val="en-GB"/>
              </w:rPr>
              <w:t>: The European Union under Reform</w:t>
            </w:r>
            <w:r w:rsidRPr="0015749A">
              <w:rPr>
                <w:rFonts w:ascii="Calibri" w:eastAsia="Calibri" w:hAnsi="Calibri" w:cs="Times New Roman"/>
                <w:lang w:val="en-GB"/>
              </w:rPr>
              <w:t xml:space="preserve">. Jean Monnet Chair, University of Miami. </w:t>
            </w:r>
            <w:r w:rsidRPr="0015749A">
              <w:rPr>
                <w:rFonts w:ascii="Calibri" w:eastAsia="Calibri" w:hAnsi="Calibri" w:cs="Times New Roman"/>
                <w:lang w:val="en-US"/>
              </w:rPr>
              <w:t xml:space="preserve">Miami-Florida European Union Center, 2009. </w:t>
            </w:r>
            <w:r w:rsidRPr="00F96B9D">
              <w:rPr>
                <w:rFonts w:ascii="Calibri" w:eastAsia="Calibri" w:hAnsi="Calibri" w:cs="Times New Roman"/>
              </w:rPr>
              <w:t>Pp. 145-194</w:t>
            </w:r>
            <w:r>
              <w:t>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3F7BFE">
              <w:rPr>
                <w:rFonts w:ascii="Calibri" w:eastAsia="Calibri" w:hAnsi="Calibri" w:cs="Times New Roman"/>
              </w:rPr>
              <w:t xml:space="preserve">Martínez Sierra, J.M.; Ferrer Martín de Vidales, C.: “La Carta de Derechos Fundamentales de la Unión Europea”, en AA.VV: Derecho, Estado, mercado. Europa y América Latina, Madrid, </w:t>
            </w:r>
            <w:proofErr w:type="spellStart"/>
            <w:r w:rsidRPr="003F7BFE">
              <w:rPr>
                <w:rFonts w:ascii="Calibri" w:eastAsia="Calibri" w:hAnsi="Calibri" w:cs="Times New Roman"/>
              </w:rPr>
              <w:t>Dilex</w:t>
            </w:r>
            <w:proofErr w:type="spellEnd"/>
            <w:r w:rsidRPr="003F7BFE">
              <w:rPr>
                <w:rFonts w:ascii="Calibri" w:eastAsia="Calibri" w:hAnsi="Calibri" w:cs="Times New Roman"/>
              </w:rPr>
              <w:t>. 2009. Pp. 487-502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96B9D">
              <w:rPr>
                <w:rFonts w:ascii="Calibri" w:eastAsia="Calibri" w:hAnsi="Calibri" w:cs="Times New Roman"/>
              </w:rPr>
              <w:t>Ferrer Martín de Vidales, C.: “El Consejo de la Unión Europea</w:t>
            </w:r>
            <w:r>
              <w:rPr>
                <w:rFonts w:ascii="Calibri" w:eastAsia="Calibri" w:hAnsi="Calibri" w:cs="Times New Roman"/>
              </w:rPr>
              <w:t xml:space="preserve"> tras el Tratado de Lisboa</w:t>
            </w:r>
            <w:r w:rsidRPr="00F96B9D">
              <w:rPr>
                <w:rFonts w:ascii="Calibri" w:eastAsia="Calibri" w:hAnsi="Calibri" w:cs="Times New Roman"/>
              </w:rPr>
              <w:t>”,</w:t>
            </w:r>
            <w:r w:rsidRPr="0015749A">
              <w:rPr>
                <w:rFonts w:ascii="Calibri" w:eastAsia="Calibri" w:hAnsi="Calibri" w:cs="Times New Roman"/>
                <w:i/>
              </w:rPr>
              <w:t xml:space="preserve"> Revista Universitaria Europea nº13, 2010</w:t>
            </w:r>
            <w:r>
              <w:rPr>
                <w:rFonts w:ascii="Calibri" w:eastAsia="Calibri" w:hAnsi="Calibri" w:cs="Times New Roman"/>
              </w:rPr>
              <w:t>, pp. 51-84</w:t>
            </w:r>
            <w:r>
              <w:t>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96B9D">
              <w:rPr>
                <w:rFonts w:ascii="Calibri" w:eastAsia="Calibri" w:hAnsi="Calibri" w:cs="Times New Roman"/>
              </w:rPr>
              <w:t>Ferrer Martín de Vidales, C.: “</w:t>
            </w:r>
            <w:r w:rsidRPr="00324A73">
              <w:rPr>
                <w:rFonts w:ascii="Calibri" w:eastAsia="Calibri" w:hAnsi="Calibri" w:cs="Times New Roman"/>
              </w:rPr>
              <w:t xml:space="preserve">Mecanismos para la </w:t>
            </w:r>
            <w:proofErr w:type="spellStart"/>
            <w:r w:rsidRPr="00324A73">
              <w:rPr>
                <w:rFonts w:ascii="Calibri" w:eastAsia="Calibri" w:hAnsi="Calibri" w:cs="Times New Roman"/>
              </w:rPr>
              <w:t>participación</w:t>
            </w:r>
            <w:proofErr w:type="spellEnd"/>
            <w:r w:rsidRPr="00324A73">
              <w:rPr>
                <w:rFonts w:ascii="Calibri" w:eastAsia="Calibri" w:hAnsi="Calibri" w:cs="Times New Roman"/>
              </w:rPr>
              <w:t xml:space="preserve"> de los Parlamentos nacionales en asuntos de la </w:t>
            </w:r>
            <w:proofErr w:type="spellStart"/>
            <w:r w:rsidRPr="00324A73">
              <w:rPr>
                <w:rFonts w:ascii="Calibri" w:eastAsia="Calibri" w:hAnsi="Calibri" w:cs="Times New Roman"/>
              </w:rPr>
              <w:t>Unión</w:t>
            </w:r>
            <w:proofErr w:type="spellEnd"/>
            <w:r w:rsidRPr="00324A73">
              <w:rPr>
                <w:rFonts w:ascii="Calibri" w:eastAsia="Calibri" w:hAnsi="Calibri" w:cs="Times New Roman"/>
              </w:rPr>
              <w:t xml:space="preserve"> Europea</w:t>
            </w:r>
            <w:r w:rsidRPr="00F96B9D">
              <w:rPr>
                <w:rFonts w:ascii="Calibri" w:eastAsia="Calibri" w:hAnsi="Calibri" w:cs="Times New Roman"/>
              </w:rPr>
              <w:t>”,</w:t>
            </w:r>
            <w:r w:rsidRPr="0015749A">
              <w:rPr>
                <w:rFonts w:ascii="Calibri" w:eastAsia="Calibri" w:hAnsi="Calibri" w:cs="Times New Roman"/>
                <w:i/>
              </w:rPr>
              <w:t xml:space="preserve"> Revista Universitaria Europea nº16, 2012</w:t>
            </w:r>
            <w:r>
              <w:rPr>
                <w:rFonts w:ascii="Calibri" w:eastAsia="Calibri" w:hAnsi="Calibri" w:cs="Times New Roman"/>
              </w:rPr>
              <w:t>, pp. 23-51</w:t>
            </w:r>
            <w:r>
              <w:t>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96B9D">
              <w:rPr>
                <w:rFonts w:ascii="Calibri" w:eastAsia="Calibri" w:hAnsi="Calibri" w:cs="Times New Roman"/>
              </w:rPr>
              <w:t>Ferrer Martín de Vidales, C.: “</w:t>
            </w:r>
            <w:r>
              <w:rPr>
                <w:rFonts w:ascii="Calibri" w:eastAsia="Calibri" w:hAnsi="Calibri" w:cs="Times New Roman"/>
              </w:rPr>
              <w:t xml:space="preserve">La Comisión Mixta para la Unión Europea. Sus nuevas competencias tras el Tratado de Lisboa y la influencia de los factores constitucionales del Estado Español en su eficacia”, </w:t>
            </w:r>
            <w:r w:rsidRPr="0015749A">
              <w:rPr>
                <w:rFonts w:ascii="Calibri" w:eastAsia="Calibri" w:hAnsi="Calibri" w:cs="Times New Roman"/>
                <w:i/>
              </w:rPr>
              <w:t>Revista de Derecho Comunitario Europeo</w:t>
            </w:r>
            <w:r w:rsidRPr="002B0946">
              <w:rPr>
                <w:rFonts w:ascii="Calibri" w:eastAsia="Calibri" w:hAnsi="Calibri" w:cs="Times New Roman"/>
              </w:rPr>
              <w:t xml:space="preserve"> nº 45,</w:t>
            </w:r>
            <w:r>
              <w:rPr>
                <w:rFonts w:ascii="Calibri" w:eastAsia="Calibri" w:hAnsi="Calibri" w:cs="Times New Roman"/>
              </w:rPr>
              <w:t xml:space="preserve"> Madrid, Mayo/agosto 2013, pp. 631-658</w:t>
            </w:r>
            <w:r>
              <w:t>.</w:t>
            </w:r>
          </w:p>
          <w:p w:rsidR="0015749A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Times New Roman"/>
              </w:rPr>
              <w:t>Ferrer Martín de Vidales, C.: “El sistema político suizo”, en Gema Sánchez Medero, Rubén Sánchez Medero (</w:t>
            </w:r>
            <w:proofErr w:type="spellStart"/>
            <w:r>
              <w:rPr>
                <w:rFonts w:ascii="Calibri" w:eastAsia="Calibri" w:hAnsi="Calibri" w:cs="Times New Roman"/>
              </w:rPr>
              <w:t>dir.</w:t>
            </w:r>
            <w:proofErr w:type="spellEnd"/>
            <w:r>
              <w:rPr>
                <w:rFonts w:ascii="Calibri" w:eastAsia="Calibri" w:hAnsi="Calibri" w:cs="Times New Roman"/>
              </w:rPr>
              <w:t>), Sistemas políticos en Europa, Tirant lo Blanch, 2ª edición, 2014, pp. 443-467</w:t>
            </w:r>
            <w:r>
              <w:t>.</w:t>
            </w:r>
          </w:p>
          <w:p w:rsidR="0015749A" w:rsidRPr="00DA2581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77D2C">
              <w:rPr>
                <w:rFonts w:ascii="Calibri" w:eastAsia="Calibri" w:hAnsi="Calibri" w:cs="Times New Roman"/>
              </w:rPr>
              <w:t xml:space="preserve">Martínez Sierra, J.M. y Ferrer Martín de Vidales, C.: “La nueva gobernanza económica de la UE contra el principio democrático y el estado social”, en M.A. García Herrera, J.A Sabater y F. Balaguer Callejón, </w:t>
            </w:r>
            <w:r w:rsidRPr="0015749A">
              <w:rPr>
                <w:rFonts w:ascii="Calibri" w:eastAsia="Calibri" w:hAnsi="Calibri" w:cs="Times New Roman"/>
                <w:i/>
              </w:rPr>
              <w:t xml:space="preserve">Constitucionalismo crítico. </w:t>
            </w:r>
            <w:proofErr w:type="spellStart"/>
            <w:r w:rsidRPr="0015749A">
              <w:rPr>
                <w:rFonts w:ascii="Calibri" w:eastAsia="Calibri" w:hAnsi="Calibri" w:cs="Times New Roman"/>
                <w:i/>
              </w:rPr>
              <w:t>Liber</w:t>
            </w:r>
            <w:proofErr w:type="spellEnd"/>
            <w:r w:rsidRPr="0015749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15749A">
              <w:rPr>
                <w:rFonts w:ascii="Calibri" w:eastAsia="Calibri" w:hAnsi="Calibri" w:cs="Times New Roman"/>
                <w:i/>
              </w:rPr>
              <w:t>amicorum</w:t>
            </w:r>
            <w:proofErr w:type="spellEnd"/>
            <w:r w:rsidRPr="0015749A">
              <w:rPr>
                <w:rFonts w:ascii="Calibri" w:eastAsia="Calibri" w:hAnsi="Calibri" w:cs="Times New Roman"/>
                <w:i/>
              </w:rPr>
              <w:t xml:space="preserve"> Carlos de Cabo Martín</w:t>
            </w:r>
            <w:r w:rsidRPr="00F77D2C">
              <w:rPr>
                <w:rFonts w:ascii="Calibri" w:eastAsia="Calibri" w:hAnsi="Calibri" w:cs="Times New Roman"/>
              </w:rPr>
              <w:t>, Tirant lo Blanch, Valencia, 2015</w:t>
            </w:r>
            <w:r w:rsidRPr="001321D3">
              <w:rPr>
                <w:rFonts w:ascii="Calibri" w:eastAsia="Calibri" w:hAnsi="Calibri" w:cs="Times New Roman"/>
              </w:rPr>
              <w:t>. Pp. 557-591</w:t>
            </w:r>
          </w:p>
          <w:p w:rsidR="00DA2581" w:rsidRPr="00DA2581" w:rsidRDefault="00DA2581" w:rsidP="00DA2581">
            <w:pPr>
              <w:pStyle w:val="Prrafodelista"/>
              <w:numPr>
                <w:ilvl w:val="0"/>
                <w:numId w:val="1"/>
              </w:numPr>
            </w:pPr>
            <w:r w:rsidRPr="00DA2581">
              <w:t xml:space="preserve">Ferrer Martín de Vidales, C.: “La evaluación de los TFG: criterios, formas y experiencias en la Facultad de Derecho de la UCM”, </w:t>
            </w:r>
            <w:r w:rsidRPr="00DA2581">
              <w:rPr>
                <w:i/>
              </w:rPr>
              <w:t>Docencia y Derecho</w:t>
            </w:r>
            <w:r w:rsidRPr="00DA2581">
              <w:t xml:space="preserve"> nº 9, 2015. </w:t>
            </w:r>
            <w:hyperlink r:id="rId8" w:history="1">
              <w:r w:rsidRPr="000B3B53">
                <w:rPr>
                  <w:rStyle w:val="Hipervnculo"/>
                </w:rPr>
                <w:t>http://www.uco.es/docencia_derecho/index.php/reduca/issue/view/15/showToc</w:t>
              </w:r>
            </w:hyperlink>
            <w:r>
              <w:t xml:space="preserve"> </w:t>
            </w:r>
            <w:r w:rsidRPr="00DA2581">
              <w:t xml:space="preserve"> </w:t>
            </w:r>
          </w:p>
          <w:p w:rsidR="0015749A" w:rsidRPr="006504FE" w:rsidRDefault="0015749A" w:rsidP="00DA2581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15749A">
              <w:rPr>
                <w:rFonts w:ascii="Calibri" w:eastAsia="Calibri" w:hAnsi="Calibri" w:cs="Times New Roman"/>
                <w:lang w:val="en-GB"/>
              </w:rPr>
              <w:t xml:space="preserve">Ferrer Martín de Vidales, C.: “The new European Economic Governance and the role of the European Council”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en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Camisón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15749A">
              <w:rPr>
                <w:rFonts w:ascii="Calibri" w:eastAsia="Calibri" w:hAnsi="Calibri" w:cs="Times New Roman"/>
                <w:lang w:val="en-GB"/>
              </w:rPr>
              <w:t>Yagüe</w:t>
            </w:r>
            <w:proofErr w:type="spellEnd"/>
            <w:r w:rsidRPr="0015749A">
              <w:rPr>
                <w:rFonts w:ascii="Calibri" w:eastAsia="Calibri" w:hAnsi="Calibri" w:cs="Times New Roman"/>
                <w:lang w:val="en-GB"/>
              </w:rPr>
              <w:t xml:space="preserve">, J.A. (Dir), </w:t>
            </w:r>
            <w:r w:rsidRPr="0015749A">
              <w:rPr>
                <w:rFonts w:ascii="Calibri" w:eastAsia="Calibri" w:hAnsi="Calibri" w:cs="Times New Roman"/>
                <w:i/>
                <w:lang w:val="en-GB"/>
              </w:rPr>
              <w:t>Explain and Understand the EU in the context of its crisis, Creative Commons</w:t>
            </w:r>
            <w:r w:rsidRPr="0015749A">
              <w:rPr>
                <w:rFonts w:ascii="Calibri" w:eastAsia="Calibri" w:hAnsi="Calibri" w:cs="Times New Roman"/>
                <w:lang w:val="en-GB"/>
              </w:rPr>
              <w:t>, 2016, ISBN: 978-84-939710-3-8, pp. 44-55</w:t>
            </w:r>
          </w:p>
          <w:p w:rsidR="006504FE" w:rsidRDefault="006504FE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VVAA</w:t>
            </w:r>
            <w:r w:rsidRPr="004250FA">
              <w:t>, “Capítulo Segundo. Derecho procesal”, en CAMPUZANO, A.B., ENCISO, M. (</w:t>
            </w:r>
            <w:proofErr w:type="spellStart"/>
            <w:r w:rsidRPr="004250FA">
              <w:t>Coords</w:t>
            </w:r>
            <w:proofErr w:type="spellEnd"/>
            <w:r w:rsidRPr="004250FA">
              <w:t>.)</w:t>
            </w:r>
            <w:r w:rsidRPr="000456F6">
              <w:rPr>
                <w:i/>
              </w:rPr>
              <w:t>. Ejercicio Profesional de la Abogacía. Memento Profesional</w:t>
            </w:r>
            <w:r w:rsidRPr="004250FA">
              <w:t xml:space="preserve">, Madrid, Francis </w:t>
            </w:r>
            <w:proofErr w:type="spellStart"/>
            <w:r w:rsidRPr="004250FA">
              <w:t>Lefevre</w:t>
            </w:r>
            <w:proofErr w:type="spellEnd"/>
            <w:r w:rsidRPr="004250FA">
              <w:t>, 2016, pp. 135-515.</w:t>
            </w:r>
          </w:p>
          <w:p w:rsid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Ferrer Martín de Vidales, C.: “Fuentes de la Unión Europea”, en Fernández Torres, J.R. (Dir.), </w:t>
            </w:r>
            <w:r w:rsidRPr="00DA2581">
              <w:rPr>
                <w:i/>
              </w:rPr>
              <w:t>Derecho Público en la Práctica</w:t>
            </w:r>
            <w:r>
              <w:t>, Tirant lo Blanch, Valencia, 2016, pp. 45-53.</w:t>
            </w:r>
          </w:p>
          <w:p w:rsidR="00DA2581" w:rsidRP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DA2581">
              <w:t>Ferrer Martín de Vidales, C.: Recensión: Aguiar de Luque, L. (</w:t>
            </w:r>
            <w:proofErr w:type="spellStart"/>
            <w:r w:rsidRPr="00DA2581">
              <w:t>dir.</w:t>
            </w:r>
            <w:proofErr w:type="spellEnd"/>
            <w:r w:rsidRPr="00DA2581">
              <w:t>) Independencia Judicial y Estado Constitucional. El Gobierno judicial; González Pascual, M. (</w:t>
            </w:r>
            <w:proofErr w:type="spellStart"/>
            <w:r w:rsidRPr="00DA2581">
              <w:t>dir.</w:t>
            </w:r>
            <w:proofErr w:type="spellEnd"/>
            <w:r w:rsidRPr="00DA2581">
              <w:t>) Independencia Judicial y Estado Constitucional. El Estatuto de los jueces. Teoría y Realidad Constitucional nº 38, 2º semestre 2016, pp. 737-746.</w:t>
            </w:r>
          </w:p>
          <w:p w:rsid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Ferrer Martín de Vidales, C.: “Enseñanza a través de clases prácticas con manejo de bases de datos jurídicas”, en </w:t>
            </w:r>
            <w:proofErr w:type="spellStart"/>
            <w:r>
              <w:t>Turull</w:t>
            </w:r>
            <w:proofErr w:type="spellEnd"/>
            <w:r>
              <w:t xml:space="preserve"> </w:t>
            </w:r>
            <w:proofErr w:type="spellStart"/>
            <w:r>
              <w:t>Rubinat</w:t>
            </w:r>
            <w:proofErr w:type="spellEnd"/>
            <w:r>
              <w:t xml:space="preserve">, M., </w:t>
            </w:r>
            <w:proofErr w:type="spellStart"/>
            <w:r>
              <w:t>Albertí</w:t>
            </w:r>
            <w:proofErr w:type="spellEnd"/>
            <w:r>
              <w:t xml:space="preserve"> Rovira, E. (Eds.), </w:t>
            </w:r>
            <w:r w:rsidRPr="00DA2581">
              <w:rPr>
                <w:i/>
              </w:rPr>
              <w:t>74 experiencias docentes del grado en Derecho</w:t>
            </w:r>
            <w:r>
              <w:t>, Octaedro-ICE-UB, Barcelona, 2016, pp. 113-116.</w:t>
            </w:r>
          </w:p>
          <w:p w:rsid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lastRenderedPageBreak/>
              <w:t>VVAA</w:t>
            </w:r>
            <w:r w:rsidRPr="004250FA">
              <w:t>, “Capítulo Segundo. Derecho procesal”, en CAMPUZANO, A.B., ENCISO, M. (</w:t>
            </w:r>
            <w:proofErr w:type="spellStart"/>
            <w:r w:rsidRPr="004250FA">
              <w:t>Coords</w:t>
            </w:r>
            <w:proofErr w:type="spellEnd"/>
            <w:r w:rsidRPr="004250FA">
              <w:t>.)</w:t>
            </w:r>
            <w:r w:rsidRPr="000456F6">
              <w:rPr>
                <w:i/>
              </w:rPr>
              <w:t>. Ejercicio Profesional de la Abogacía. Memento Profesional</w:t>
            </w:r>
            <w:r w:rsidRPr="004250FA">
              <w:t xml:space="preserve">, Madrid, Francis </w:t>
            </w:r>
            <w:proofErr w:type="spellStart"/>
            <w:r w:rsidRPr="004250FA">
              <w:t>Lefevre</w:t>
            </w:r>
            <w:proofErr w:type="spellEnd"/>
            <w:r w:rsidRPr="004250FA">
              <w:t>,</w:t>
            </w:r>
            <w:r>
              <w:t xml:space="preserve"> 2017.</w:t>
            </w:r>
          </w:p>
          <w:p w:rsidR="00DA2581" w:rsidRPr="00DA2581" w:rsidRDefault="00DA2581" w:rsidP="00DA2581">
            <w:pPr>
              <w:pStyle w:val="Prrafodelista"/>
              <w:numPr>
                <w:ilvl w:val="0"/>
                <w:numId w:val="1"/>
              </w:numPr>
            </w:pPr>
            <w:r w:rsidRPr="00DA2581">
              <w:t xml:space="preserve">Martínez Sierra, J.M.; Ferrer Martín de Vidales, C.: “La igualdad ante la ley en la doctrina del TJUE”, </w:t>
            </w:r>
            <w:r w:rsidRPr="00DA2581">
              <w:rPr>
                <w:i/>
              </w:rPr>
              <w:t>Estudios de Deusto</w:t>
            </w:r>
            <w:r w:rsidRPr="00DA2581">
              <w:t xml:space="preserve">, </w:t>
            </w:r>
            <w:proofErr w:type="spellStart"/>
            <w:r w:rsidRPr="00DA2581">
              <w:t>Vol</w:t>
            </w:r>
            <w:proofErr w:type="spellEnd"/>
            <w:r w:rsidRPr="00DA2581">
              <w:t xml:space="preserve"> 65, No 2 (2017), pp. 211-245.</w:t>
            </w:r>
          </w:p>
          <w:p w:rsid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VVAA</w:t>
            </w:r>
            <w:r w:rsidRPr="004250FA">
              <w:t>, “Capítulo Segundo. Derecho procesal”, en CAMPUZANO, A.B., ENCISO, M. (</w:t>
            </w:r>
            <w:proofErr w:type="spellStart"/>
            <w:r w:rsidRPr="004250FA">
              <w:t>Coords</w:t>
            </w:r>
            <w:proofErr w:type="spellEnd"/>
            <w:r w:rsidRPr="004250FA">
              <w:t>.)</w:t>
            </w:r>
            <w:r w:rsidRPr="000456F6">
              <w:rPr>
                <w:i/>
              </w:rPr>
              <w:t>. Ejercicio Profesional de la Abogacía. Memento Profesional</w:t>
            </w:r>
            <w:r w:rsidRPr="004250FA">
              <w:t xml:space="preserve">, Madrid, Francis </w:t>
            </w:r>
            <w:proofErr w:type="spellStart"/>
            <w:r w:rsidRPr="004250FA">
              <w:t>Lefevre</w:t>
            </w:r>
            <w:proofErr w:type="spellEnd"/>
            <w:r w:rsidRPr="004250FA">
              <w:t>,</w:t>
            </w:r>
            <w:r>
              <w:t xml:space="preserve"> 2019.</w:t>
            </w:r>
          </w:p>
          <w:p w:rsidR="00DA2581" w:rsidRPr="00DA2581" w:rsidRDefault="00DA2581" w:rsidP="00DA2581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DA2581">
              <w:t xml:space="preserve">Martínez Sierra, J.M. y Ferrer Martín de Vidales, C., “Límites a la tutela judicial efectiva en el Derecho de la UE: a propósito de la doctrina de las cláusulas suelo del TJUE en el asunto Gutiérrez Naranjo”, en Estudios sobre Jurisprudencia </w:t>
            </w:r>
            <w:proofErr w:type="spellStart"/>
            <w:r w:rsidRPr="00DA2581">
              <w:t>Europeoa</w:t>
            </w:r>
            <w:proofErr w:type="spellEnd"/>
            <w:r w:rsidRPr="00DA2581">
              <w:t xml:space="preserve"> II, Materiales del III Encuentro anual del Centro español del </w:t>
            </w:r>
            <w:proofErr w:type="spellStart"/>
            <w:r w:rsidRPr="00DA2581">
              <w:t>European</w:t>
            </w:r>
            <w:proofErr w:type="spellEnd"/>
            <w:r w:rsidRPr="00DA2581">
              <w:t xml:space="preserve"> </w:t>
            </w:r>
            <w:proofErr w:type="spellStart"/>
            <w:r w:rsidRPr="00DA2581">
              <w:t>Law</w:t>
            </w:r>
            <w:proofErr w:type="spellEnd"/>
            <w:r w:rsidRPr="00DA2581">
              <w:t xml:space="preserve"> </w:t>
            </w:r>
            <w:proofErr w:type="spellStart"/>
            <w:r w:rsidRPr="00DA2581">
              <w:t>Institute</w:t>
            </w:r>
            <w:proofErr w:type="spellEnd"/>
            <w:r w:rsidRPr="00DA2581">
              <w:t>, Albert Ruda González, Carmen Jerez Delgado (</w:t>
            </w:r>
            <w:proofErr w:type="spellStart"/>
            <w:r w:rsidRPr="00DA2581">
              <w:t>Dir</w:t>
            </w:r>
            <w:proofErr w:type="spellEnd"/>
            <w:r w:rsidRPr="00DA2581">
              <w:t xml:space="preserve">), Ed. </w:t>
            </w:r>
            <w:proofErr w:type="spellStart"/>
            <w:r w:rsidRPr="00DA2581">
              <w:t>Sepin</w:t>
            </w:r>
            <w:proofErr w:type="spellEnd"/>
            <w:r w:rsidRPr="00DA2581">
              <w:t>, 2019.</w:t>
            </w:r>
          </w:p>
          <w:p w:rsidR="00DA2581" w:rsidRPr="00DA2581" w:rsidRDefault="00DA2581" w:rsidP="00DA258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DA2581">
              <w:t>Ferrer Martín de Vidales, C.: “Semestre Europeo: la supervisión de las políticas económicas, presupuestarias y fiscales del Estado Español”, Revista Foro (en prensa 2019)</w:t>
            </w:r>
          </w:p>
          <w:p w:rsidR="00DA2581" w:rsidRPr="006504FE" w:rsidRDefault="00DA2581" w:rsidP="00DA2581">
            <w:pPr>
              <w:ind w:left="360"/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5749A" w:rsidP="00C875F1">
            <w:r>
              <w:t>Pasante, despacho abogado José Manuel Romero (2004-2005)</w:t>
            </w:r>
          </w:p>
        </w:tc>
      </w:tr>
    </w:tbl>
    <w:p w:rsidR="00EF2C9D" w:rsidRDefault="00EF2C9D"/>
    <w:sectPr w:rsidR="00EF2C9D" w:rsidSect="001D7F79">
      <w:headerReference w:type="default" r:id="rId9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7" w:rsidRDefault="000D59B7" w:rsidP="001D7F79">
      <w:pPr>
        <w:spacing w:after="0" w:line="240" w:lineRule="auto"/>
      </w:pPr>
      <w:r>
        <w:separator/>
      </w:r>
    </w:p>
  </w:endnote>
  <w:endnote w:type="continuationSeparator" w:id="0">
    <w:p w:rsidR="000D59B7" w:rsidRDefault="000D59B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7" w:rsidRDefault="000D59B7" w:rsidP="001D7F79">
      <w:pPr>
        <w:spacing w:after="0" w:line="240" w:lineRule="auto"/>
      </w:pPr>
      <w:r>
        <w:separator/>
      </w:r>
    </w:p>
  </w:footnote>
  <w:footnote w:type="continuationSeparator" w:id="0">
    <w:p w:rsidR="000D59B7" w:rsidRDefault="000D59B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0D59B7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E0289"/>
    <w:rsid w:val="003237B4"/>
    <w:rsid w:val="003A369F"/>
    <w:rsid w:val="004D76B6"/>
    <w:rsid w:val="00506DA3"/>
    <w:rsid w:val="0055671E"/>
    <w:rsid w:val="005B38F9"/>
    <w:rsid w:val="005F3BA3"/>
    <w:rsid w:val="006504FE"/>
    <w:rsid w:val="006A0346"/>
    <w:rsid w:val="006E5F82"/>
    <w:rsid w:val="00737DDD"/>
    <w:rsid w:val="00747421"/>
    <w:rsid w:val="007579F8"/>
    <w:rsid w:val="00760D07"/>
    <w:rsid w:val="00780D55"/>
    <w:rsid w:val="007816DF"/>
    <w:rsid w:val="00826C05"/>
    <w:rsid w:val="00863858"/>
    <w:rsid w:val="00974CD4"/>
    <w:rsid w:val="00990AA2"/>
    <w:rsid w:val="00AA6974"/>
    <w:rsid w:val="00B15282"/>
    <w:rsid w:val="00B32F6A"/>
    <w:rsid w:val="00CC3283"/>
    <w:rsid w:val="00CE075E"/>
    <w:rsid w:val="00DA2581"/>
    <w:rsid w:val="00E12336"/>
    <w:rsid w:val="00EF2C9D"/>
    <w:rsid w:val="00F17678"/>
    <w:rsid w:val="00F249AD"/>
    <w:rsid w:val="00F36336"/>
    <w:rsid w:val="00F46039"/>
    <w:rsid w:val="00F553C1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docencia_derecho/index.php/reduca/issue/view/15/showT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2019-04-30T11:22:00Z</dcterms:created>
  <dcterms:modified xsi:type="dcterms:W3CDTF">2019-06-20T14:31:00Z</dcterms:modified>
</cp:coreProperties>
</file>